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GOOGEER保健食品</w:t>
      </w:r>
      <w:r>
        <w:rPr>
          <w:rFonts w:hint="eastAsia"/>
          <w:b/>
          <w:bCs/>
          <w:color w:val="FF0000"/>
          <w:lang w:val="en-US" w:eastAsia="zh-CN"/>
        </w:rPr>
        <w:t>这个品牌的产品包装均用汕头市谷吉尔健康食品有限公司的地址。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食品类的产品文案（只卖国外）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265"/>
        <w:gridCol w:w="3675"/>
        <w:gridCol w:w="1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包装英文内容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67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GOOGEER </w:t>
            </w:r>
            <w:bookmarkStart w:id="0" w:name="OLE_LINK4"/>
            <w:r>
              <w:rPr>
                <w:rFonts w:hint="eastAsia"/>
                <w:vertAlign w:val="baseline"/>
                <w:lang w:val="en-US" w:eastAsia="zh-CN"/>
              </w:rPr>
              <w:t>Dietary Supplement</w:t>
            </w:r>
            <w:bookmarkEnd w:id="0"/>
          </w:p>
        </w:tc>
        <w:tc>
          <w:tcPr>
            <w:tcW w:w="226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bookmarkStart w:id="1" w:name="OLE_LINK3"/>
            <w:r>
              <w:rPr>
                <w:rFonts w:hint="eastAsia"/>
                <w:vertAlign w:val="baseline"/>
                <w:lang w:val="en-US" w:eastAsia="zh-CN"/>
              </w:rPr>
              <w:t>GOOGEER男士能量补充滴剂（入口）</w:t>
            </w:r>
            <w:bookmarkEnd w:id="1"/>
          </w:p>
        </w:tc>
        <w:tc>
          <w:tcPr>
            <w:tcW w:w="367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根据不同产品名称修改(GOOGEER+产品名）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https://www.rejuvica.com/products/activated-male</w:t>
            </w:r>
          </w:p>
        </w:tc>
        <w:tc>
          <w:tcPr>
            <w:tcW w:w="226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</w:t>
            </w:r>
          </w:p>
        </w:tc>
        <w:tc>
          <w:tcPr>
            <w:tcW w:w="3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产品类型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TYPE：</w:t>
            </w:r>
          </w:p>
          <w:p>
            <w:pPr>
              <w:bidi w:val="0"/>
              <w:jc w:val="left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Health Products</w:t>
            </w:r>
          </w:p>
        </w:tc>
        <w:tc>
          <w:tcPr>
            <w:tcW w:w="2265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</w:t>
            </w:r>
          </w:p>
        </w:tc>
        <w:tc>
          <w:tcPr>
            <w:tcW w:w="36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保健品/草本茶包/软糖产品等，根据产品情况调整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Health </w:t>
            </w:r>
            <w:bookmarkStart w:id="2" w:name="OLE_LINK1"/>
            <w:r>
              <w:rPr>
                <w:rFonts w:hint="eastAsia"/>
                <w:vertAlign w:val="baseline"/>
                <w:lang w:val="en-US" w:eastAsia="zh-CN"/>
              </w:rPr>
              <w:t>Products</w:t>
            </w:r>
            <w:bookmarkEnd w:id="2"/>
            <w:r>
              <w:rPr>
                <w:rFonts w:hint="eastAsia"/>
                <w:vertAlign w:val="baseline"/>
                <w:lang w:val="en-US" w:eastAsia="zh-CN"/>
              </w:rPr>
              <w:t>/Herbal Tea Bags/Gummies Products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5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red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配料表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TRADITIONAL CHINESE MEDICINE EXTRACT、GLUCONOLACTONE、VITAMIN B1、POTASSIUM SORBATE、MINT LEAF EXTRACT</w:t>
            </w:r>
          </w:p>
        </w:tc>
        <w:tc>
          <w:tcPr>
            <w:tcW w:w="226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中药提取物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葡萄糖酸内酯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维生素b1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山梨酸钾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薄荷叶提取液</w:t>
            </w:r>
          </w:p>
        </w:tc>
        <w:tc>
          <w:tcPr>
            <w:tcW w:w="36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按供应商给的做，不用INCI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1、保健滴剂的【汕头市乐怡健康食品有限公司】：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中药提取物，葡萄糖酸内脂，维生素b1，山梨酸钾，薄荷叶提取液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TRADITIONAL CHINESE MEDICINE EXTRACT, GLUCONOLACTONE, VITAMIN B1, POTASSIUM SORBATE, MINT LEAF EXTRACT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2、胶囊的【安徽医味健康科技有限公司】：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纯化水、甘油、维生素C、明胶、钠、食用着色剂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软糖的【安徽医味健康科技有限公司】参考（浓缩汁味道视产品改动）：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麦芽糖浆、白糖粉、山楂浓缩汁、果胶、柠檬酸、柠檬酸钠、维生素C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SYRUP、WHITE SUGAR POWDER、HAWTHORN JUICE CONCENTRATE、PECTIN、CITRIC ACID、SODIUM CITRATE、VITAMIN C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需开发确认：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1、哪家供应商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2、开发问清楚成分等信息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red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营养成分表</w:t>
            </w:r>
          </w:p>
        </w:tc>
        <w:tc>
          <w:tcPr>
            <w:tcW w:w="4710" w:type="dxa"/>
            <w:gridSpan w:val="2"/>
          </w:tcPr>
          <w:p>
            <w:pPr>
              <w:bidi w:val="0"/>
              <w:jc w:val="left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NUTRITION</w:t>
            </w: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INGREDIENT LIST：</w:t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bookmarkStart w:id="3" w:name="OLE_LINK2"/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90kJ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4.9g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bookmarkEnd w:id="3"/>
          </w:tbl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675" w:type="dxa"/>
          </w:tcPr>
          <w:p>
            <w:pPr>
              <w:bidi w:val="0"/>
              <w:jc w:val="both"/>
            </w:pPr>
            <w:r>
              <w:rPr>
                <w:rFonts w:hint="eastAsia"/>
                <w:lang w:val="en-US" w:eastAsia="zh-CN"/>
              </w:rPr>
              <w:t>胶囊</w:t>
            </w:r>
            <w:r>
              <w:rPr>
                <w:rFonts w:hint="eastAsia"/>
                <w:vertAlign w:val="baseline"/>
                <w:lang w:val="en-US" w:eastAsia="zh-CN"/>
              </w:rPr>
              <w:t>【安徽医味健康科技有限公司】</w:t>
            </w:r>
            <w:r>
              <w:rPr>
                <w:rFonts w:hint="eastAsia"/>
                <w:lang w:val="en-US" w:eastAsia="zh-CN"/>
              </w:rPr>
              <w:t>统一营养成分表</w:t>
            </w:r>
            <w:r>
              <w:drawing>
                <wp:inline distT="0" distB="0" distL="114300" distR="114300">
                  <wp:extent cx="1939290" cy="909955"/>
                  <wp:effectExtent l="0" t="0" r="3810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290" cy="90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both"/>
            </w:pPr>
            <w:r>
              <w:drawing>
                <wp:inline distT="0" distB="0" distL="114300" distR="114300">
                  <wp:extent cx="1932940" cy="810895"/>
                  <wp:effectExtent l="0" t="0" r="10160" b="825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4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滴剂【汕头市乐怡健康食品有限公司】</w:t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693035" cy="1154430"/>
                  <wp:effectExtent l="0" t="0" r="12065" b="7620"/>
                  <wp:docPr id="4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035" cy="1154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90kJ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4.9g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</w:tbl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由供应商提供，需与供应商确认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食用方法</w:t>
            </w:r>
          </w:p>
        </w:tc>
        <w:tc>
          <w:tcPr>
            <w:tcW w:w="2445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DIRECTIONS OF SAFE USE: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</w:t>
            </w:r>
          </w:p>
        </w:tc>
        <w:tc>
          <w:tcPr>
            <w:tcW w:w="2265" w:type="dxa"/>
            <w:vAlign w:val="top"/>
          </w:tcPr>
          <w:p>
            <w:pPr>
              <w:bidi w:val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食用前请摇匀，每次取用1-2滴，每日1-2次</w:t>
            </w:r>
          </w:p>
        </w:tc>
        <w:tc>
          <w:tcPr>
            <w:tcW w:w="3675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1、瘦身茶：在杯中放一个茶包，加入约200ml沸水浸泡3-4分钟即可。Put a tea bag in the cup, add about 200ml boiling water and soak for 3-4 minutes.</w:t>
            </w:r>
          </w:p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2、保健滴剂：食用前请摇匀，每次取用1-2滴，每日1-2次</w:t>
            </w:r>
          </w:p>
          <w:p>
            <w:pPr>
              <w:bidi w:val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胶囊：每日两次，每次1~2粒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  <w:vAlign w:val="center"/>
          </w:tcPr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It can optimize the body's metabolism, help burn excess fat, reduce body fat content, and have a better body shape.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It can be quickly released into the deep cells of the body to provide lasting energy support, thereby significantly enhancing men's endurance.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It can enhance muscle strength and explosive power, stimulate men's inner motivation, and help maintain positivity and confidence.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bookmarkStart w:id="4" w:name="OLE_LINK5"/>
            <w:r>
              <w:rPr>
                <w:rFonts w:hint="eastAsia"/>
                <w:vertAlign w:val="baseline"/>
                <w:lang w:val="en-US" w:eastAsia="zh-CN"/>
              </w:rPr>
              <w:t>能够优化身体的新陈代谢，帮助燃烧多余的脂肪，减少体脂含量，拥有更好的体型。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能够迅速释放到身体的深层细胞，提供持久的能量支持，从而显著增强男士的耐力。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能够增强肌肉力量和爆发力</w:t>
            </w:r>
            <w:r>
              <w:rPr>
                <w:rFonts w:hint="eastAsia"/>
                <w:vertAlign w:val="baseline"/>
                <w:lang w:val="en-US" w:eastAsia="zh-CN"/>
              </w:rPr>
              <w:t>，激发男士的内在动力，帮助保持积极和自信。</w:t>
            </w:r>
            <w:bookmarkEnd w:id="4"/>
          </w:p>
        </w:tc>
        <w:tc>
          <w:tcPr>
            <w:tcW w:w="367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  <w:vAlign w:val="center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Dietary Supplement；Diet Supplements；Vitamin Supplements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膳食补充剂；膳食补充剂；维生素补充剂</w:t>
            </w:r>
          </w:p>
        </w:tc>
        <w:tc>
          <w:tcPr>
            <w:tcW w:w="36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zh-CN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WARNING</w:t>
            </w:r>
            <w:r>
              <w:rPr>
                <w:rFonts w:hint="default"/>
                <w:b/>
                <w:bCs/>
                <w:vertAlign w:val="baseli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265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67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经销商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DISTRIBUTOR</w:t>
            </w:r>
            <w:r>
              <w:rPr>
                <w:rFonts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Shantou GOOGEER Health Food Co., Ltd.</w:t>
            </w:r>
          </w:p>
        </w:tc>
        <w:tc>
          <w:tcPr>
            <w:tcW w:w="2265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汕头市谷吉尔健康食品有限公司</w:t>
            </w:r>
          </w:p>
        </w:tc>
        <w:tc>
          <w:tcPr>
            <w:tcW w:w="367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Room 1719, West Tower, China Resources Building, No. 95 Changping Road, Longhu District, Shantou City</w:t>
            </w:r>
          </w:p>
        </w:tc>
        <w:tc>
          <w:tcPr>
            <w:tcW w:w="2265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汕头市龙湖区长平路95号华润大厦西塔1719号房之一</w:t>
            </w:r>
          </w:p>
        </w:tc>
        <w:tc>
          <w:tcPr>
            <w:tcW w:w="367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生产商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Shantou Leyi Health Food Co., Ltd.</w:t>
            </w:r>
          </w:p>
        </w:tc>
        <w:tc>
          <w:tcPr>
            <w:tcW w:w="226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汕头市乐怡健康食品有限公司</w:t>
            </w:r>
          </w:p>
        </w:tc>
        <w:tc>
          <w:tcPr>
            <w:tcW w:w="367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West side of the 3rd and 4th floors of Building No. 7 on the north side of the middle section of Beixing Road, Beizhong Village, Xinxi Street, Longhu District, Shantou City</w:t>
            </w:r>
          </w:p>
        </w:tc>
        <w:tc>
          <w:tcPr>
            <w:tcW w:w="226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汕头市龙湖区新溪街道北中村北兴路中段北侧7号建筑物3、4楼西侧</w:t>
            </w:r>
          </w:p>
        </w:tc>
        <w:tc>
          <w:tcPr>
            <w:tcW w:w="367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One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 rue d'Armaille 75017 Paris, France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Jeffrey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+34 615 561 161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226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67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Star Uk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 Copperfield Road Coventry, West Midlands, England United Kingdom Cv2 4Aq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James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+34 615 561 159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GStarUK.service@hotmail.com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67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 International Inc.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5030 Boardwalk Dr, Suite 818 Colorado Springs, CO 80919, United 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Jessica Zhong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001-719-6787182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UA.customerservice@hotmail.com</w:t>
            </w:r>
          </w:p>
        </w:tc>
        <w:tc>
          <w:tcPr>
            <w:tcW w:w="226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67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265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67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265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图标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drawing>
                <wp:inline distT="0" distB="0" distL="114300" distR="114300">
                  <wp:extent cx="1413510" cy="1247140"/>
                  <wp:effectExtent l="0" t="0" r="15240" b="10160"/>
                  <wp:docPr id="6" name="图片 6" descr="企业微信截图_17170650999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企业微信截图_1717065099950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124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67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265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bookmarkStart w:id="5" w:name="_GoBack"/>
            <w:r>
              <w:rPr>
                <w:rFonts w:hint="eastAsia"/>
                <w:vertAlign w:val="baseline"/>
                <w:lang w:val="en-US" w:eastAsia="zh-CN"/>
              </w:rPr>
              <w:t>男士能量补充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滴剂增强活力补充能量增强力量耐力调节身体膳食补充滴剂</w:t>
            </w:r>
            <w:bookmarkEnd w:id="5"/>
          </w:p>
        </w:tc>
        <w:tc>
          <w:tcPr>
            <w:tcW w:w="367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Liquid form, quick replenishment, direct to what is needed.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Convenient to carry and replenish easily anytime and anywhere.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3.Multiple nutrition, synergy, comprehensive improvement.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Refreshing taste, boosting spirit, and pleasant experience.</w:t>
            </w:r>
          </w:p>
        </w:tc>
        <w:tc>
          <w:tcPr>
            <w:tcW w:w="2265" w:type="dxa"/>
            <w:vAlign w:val="top"/>
          </w:tcPr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液态形式，迅速补充，直达所需。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便捷携带，随时随地，轻松补充。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多重营养，协同作用，全面提升。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清新口感，提振精神，愉悦体验。</w:t>
            </w:r>
          </w:p>
        </w:tc>
        <w:tc>
          <w:tcPr>
            <w:tcW w:w="367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Enhance endurance: long-lasting power to assist high-intensity exercise.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Improve body shape: enhance body lines and highlight men's charm.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Energy boost: Quickly replenish energy to cope with daily challenges.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Strength and motivation: Enhance muscle strength and easily cope with heavy pressure.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Replenish energy, rejuvenate and stay healthy.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Invigorate your spirit, help your nervous system stay healthy, and keep your mind clear.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The refreshing taste of mint makes you feel more comfortable.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Easy to carry and convenient for your daily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Long-lasting effect, keeping you energetic for a long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Plant extract ingredients, safe and reliable, no side effects.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Drop design, precise control of dosage.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Efficient energy conversion, unlimited vitality.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Easily cope with life stress and stay in top condition.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Highly effective formula, awaken your source of vitality and enhance your spirit.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Reconciles body and mind, accelerates energy metabolism, improves mental state, and is full of motivation.</w:t>
            </w:r>
          </w:p>
        </w:tc>
        <w:tc>
          <w:tcPr>
            <w:tcW w:w="2265" w:type="dxa"/>
            <w:vAlign w:val="top"/>
          </w:tcPr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增强耐力：持久动力，助力高强度运动。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提升体型：增强身体线条，彰显男士魅力。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能量提升：迅速补充能量，应对日常挑战。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力量动力：增强肌肉力量，轻松应对重压。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补充能量，焕发活力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，保持健康。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振奋精神，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助力神经系统健康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，保持清晰头脑。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薄荷清新口感，让你倍感舒适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轻松携带，方便您的日常使用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持久效果，让你长时间保持活力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植萃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成分，安全可靠，无副作用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滴剂设计，精准控制用量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高效能量转换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活力无限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轻松应对生活压力，保持最佳状态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高效配方，唤醒你的活力源泉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，精神提升。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调和身心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加速能量代谢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，提升精神状态，动力满满。</w:t>
            </w:r>
          </w:p>
          <w:p>
            <w:p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Traditional Chinese medicine extract: Reconciles body functions, rejuvenates and enhances the sense of strength.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Gluconolactone: Accelerates energy metabolism, provides continuous power, and relieves fatigue.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Vitamin B1: Participates in energy metabolism, maintains nervous system health, and balances emotions.</w:t>
            </w:r>
          </w:p>
        </w:tc>
        <w:tc>
          <w:tcPr>
            <w:tcW w:w="2265" w:type="dxa"/>
            <w:vAlign w:val="top"/>
          </w:tcPr>
          <w:p>
            <w:pPr>
              <w:numPr>
                <w:ilvl w:val="0"/>
                <w:numId w:val="8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中药提取物：调和身体机能，焕发活力，增强力量感。</w:t>
            </w:r>
          </w:p>
          <w:p>
            <w:pPr>
              <w:numPr>
                <w:ilvl w:val="0"/>
                <w:numId w:val="8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葡萄糖酸内酯：加速能量代谢，提供持续动力，缓解疲劳感。</w:t>
            </w:r>
          </w:p>
          <w:p>
            <w:pPr>
              <w:numPr>
                <w:ilvl w:val="0"/>
                <w:numId w:val="8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维生素B1：参与能量代谢，维持神经系统健康，平衡情绪。</w:t>
            </w:r>
          </w:p>
        </w:tc>
        <w:tc>
          <w:tcPr>
            <w:tcW w:w="367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30EFD8"/>
    <w:multiLevelType w:val="singleLevel"/>
    <w:tmpl w:val="8430EFD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CFB0D87"/>
    <w:multiLevelType w:val="singleLevel"/>
    <w:tmpl w:val="DCFB0D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9CC4C6B"/>
    <w:multiLevelType w:val="singleLevel"/>
    <w:tmpl w:val="E9CC4C6B"/>
    <w:lvl w:ilvl="0" w:tentative="0">
      <w:start w:val="3"/>
      <w:numFmt w:val="decimal"/>
      <w:suff w:val="nothing"/>
      <w:lvlText w:val="%1、"/>
      <w:lvlJc w:val="left"/>
    </w:lvl>
  </w:abstractNum>
  <w:abstractNum w:abstractNumId="4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B175129"/>
    <w:multiLevelType w:val="singleLevel"/>
    <w:tmpl w:val="FB17512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CF69CC1"/>
    <w:multiLevelType w:val="singleLevel"/>
    <w:tmpl w:val="3CF69CC1"/>
    <w:lvl w:ilvl="0" w:tentative="0">
      <w:start w:val="3"/>
      <w:numFmt w:val="decimal"/>
      <w:suff w:val="nothing"/>
      <w:lvlText w:val="%1、"/>
      <w:lvlJc w:val="left"/>
    </w:lvl>
  </w:abstractNum>
  <w:abstractNum w:abstractNumId="7">
    <w:nsid w:val="4E4F6F4D"/>
    <w:multiLevelType w:val="singleLevel"/>
    <w:tmpl w:val="4E4F6F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ODJhM2I2NjgzNmRjYmIxNzc4NGQxZTZmNjYzZjIifQ=="/>
  </w:docVars>
  <w:rsids>
    <w:rsidRoot w:val="080F3DF8"/>
    <w:rsid w:val="05D01572"/>
    <w:rsid w:val="080F3DF8"/>
    <w:rsid w:val="095D2ECE"/>
    <w:rsid w:val="0998469B"/>
    <w:rsid w:val="0D5F1205"/>
    <w:rsid w:val="11CE1258"/>
    <w:rsid w:val="1281178E"/>
    <w:rsid w:val="151E66B7"/>
    <w:rsid w:val="1EB56315"/>
    <w:rsid w:val="203E2C74"/>
    <w:rsid w:val="20AE7AB7"/>
    <w:rsid w:val="2C212BC7"/>
    <w:rsid w:val="2C2F3E7B"/>
    <w:rsid w:val="2EB160BC"/>
    <w:rsid w:val="30CE2337"/>
    <w:rsid w:val="31BE5DA8"/>
    <w:rsid w:val="32706949"/>
    <w:rsid w:val="3D8E5A8D"/>
    <w:rsid w:val="436F2FF7"/>
    <w:rsid w:val="477E5729"/>
    <w:rsid w:val="47D44839"/>
    <w:rsid w:val="4F9B24F8"/>
    <w:rsid w:val="54C524A6"/>
    <w:rsid w:val="596377A6"/>
    <w:rsid w:val="5E5F1C0F"/>
    <w:rsid w:val="5F8F1018"/>
    <w:rsid w:val="6010760A"/>
    <w:rsid w:val="60FA627F"/>
    <w:rsid w:val="6313107A"/>
    <w:rsid w:val="64E5586C"/>
    <w:rsid w:val="6D7241A0"/>
    <w:rsid w:val="70A84A0A"/>
    <w:rsid w:val="72486799"/>
    <w:rsid w:val="73612AB3"/>
    <w:rsid w:val="77255AB2"/>
    <w:rsid w:val="77F97AE1"/>
    <w:rsid w:val="79B841E5"/>
    <w:rsid w:val="7B4B1D10"/>
    <w:rsid w:val="7CB1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1187</Words>
  <Characters>2423</Characters>
  <Lines>0</Lines>
  <Paragraphs>0</Paragraphs>
  <TotalTime>0</TotalTime>
  <ScaleCrop>false</ScaleCrop>
  <LinksUpToDate>false</LinksUpToDate>
  <CharactersWithSpaces>2605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2024-06-24T02:47:21Z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E5C39AD14D3F4864805A330DA7AB671C_13</vt:lpwstr>
  </property>
</Properties>
</file>