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1590"/>
        <w:gridCol w:w="4350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435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bookmarkStart w:id="0" w:name="OLE_LINK5"/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GOOGEER</w:t>
            </w:r>
            <w:bookmarkEnd w:id="0"/>
            <w:bookmarkStart w:id="1" w:name="OLE_LINK7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Bio Pro Choice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Vitality Oil</w:t>
            </w:r>
            <w:bookmarkEnd w:id="1"/>
          </w:p>
        </w:tc>
        <w:tc>
          <w:tcPr>
            <w:tcW w:w="159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7" w:name="_GoBack"/>
            <w:r>
              <w:rPr>
                <w:rFonts w:hint="eastAsia"/>
                <w:vertAlign w:val="baseline"/>
                <w:lang w:val="en-US" w:eastAsia="zh-CN"/>
              </w:rPr>
              <w:t>GOOGEER</w:t>
            </w:r>
            <w:bookmarkStart w:id="2" w:name="OLE_LINK6"/>
            <w:r>
              <w:rPr>
                <w:rFonts w:hint="eastAsia"/>
                <w:vertAlign w:val="baseline"/>
                <w:lang w:val="en-US" w:eastAsia="zh-CN"/>
              </w:rPr>
              <w:t>男性增强补充滴剂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（入口）</w:t>
            </w:r>
            <w:bookmarkEnd w:id="7"/>
          </w:p>
        </w:tc>
        <w:tc>
          <w:tcPr>
            <w:tcW w:w="435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https://casacoves.com/products/super</w:t>
            </w:r>
          </w:p>
        </w:tc>
        <w:tc>
          <w:tcPr>
            <w:tcW w:w="159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43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TYPE：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159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bookmarkStart w:id="3" w:name="OLE_LINK3"/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4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3"/>
            <w:bookmarkEnd w:id="4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EXTRACT、GLUCONOLACTONE、VITAMIN B1、POTASSIUM SORBATE、MINT LEAF EXTRACT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中药提取物，葡萄糖酸内脂，维生素b1，山梨酸钾，薄荷叶提取液</w:t>
            </w:r>
          </w:p>
        </w:tc>
        <w:tc>
          <w:tcPr>
            <w:tcW w:w="4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1、保健滴剂的【汕头市乐怡健康食品有限公司】：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中药提取物，葡萄糖酸内脂，维生素b1，山梨酸钾，薄荷叶提取液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EXTRACT, GLUCONOLACTONE, VITAMIN B1, POTASSIUM SORBATE, MINT LEAF EXTRACT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035" w:type="dxa"/>
            <w:gridSpan w:val="2"/>
          </w:tcPr>
          <w:p>
            <w:pPr>
              <w:bidi w:val="0"/>
              <w:jc w:val="left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NUTRITION</w:t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sz w:val="20"/>
                <w:szCs w:val="22"/>
                <w:highlight w:val="no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bookmarkStart w:id="5" w:name="OLE_LINK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  <w:vAlign w:val="top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bookmarkEnd w:id="5"/>
          </w:tbl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4350" w:type="dxa"/>
          </w:tcPr>
          <w:p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滴剂【汕头市乐怡健康食品有限公司】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693035" cy="1154430"/>
                  <wp:effectExtent l="0" t="0" r="12065" b="762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035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bookmarkStart w:id="6" w:name="OLE_LINK4" w:colFirst="0" w:colLast="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</w:tcPr>
                <w:p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bookmarkEnd w:id="6"/>
          </w:tbl>
          <w:p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DIRECTIONS OF SAFE USE: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leftChars="0" w:right="0" w:right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Please shake well before consumption, take 1-2 drops each time, 1-2 times a day.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。</w:t>
            </w:r>
          </w:p>
        </w:tc>
        <w:tc>
          <w:tcPr>
            <w:tcW w:w="4350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Helps improve physical strength and endurance, helping men perform better in physical activities.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enhance blood flow, thereby improving male sexual function and improving quality of life.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It works quickly, increases hardness and length, and helps enhance the relationship between you and your partner.</w:t>
            </w:r>
          </w:p>
        </w:tc>
        <w:tc>
          <w:tcPr>
            <w:tcW w:w="1590" w:type="dxa"/>
            <w:vAlign w:val="top"/>
          </w:tcPr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有助于提升体力和耐力，帮助男性在体力活动中表现更出色。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能够增强血液流动，从而改善男性性功能，提升生活质量。</w:t>
            </w:r>
          </w:p>
          <w:p>
            <w:pPr>
              <w:numPr>
                <w:ilvl w:val="0"/>
                <w:numId w:val="4"/>
              </w:num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快速起效，增加硬度和长度，有助于增进您与伴侣之间的感情。</w:t>
            </w:r>
          </w:p>
        </w:tc>
        <w:tc>
          <w:tcPr>
            <w:tcW w:w="435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Bio Pro Choice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 xml:space="preserve"> Vitality Oil；Male Enhancing Enlargement Supplement；Male Supplements For Erections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男性增强补充滴剂；男性增强增大补充剂；男性勃起补充剂</w:t>
            </w:r>
          </w:p>
        </w:tc>
        <w:tc>
          <w:tcPr>
            <w:tcW w:w="4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zh-CN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WARNING</w:t>
            </w:r>
            <w:r>
              <w:rPr>
                <w:rFonts w:hint="default"/>
                <w:b/>
                <w:bCs/>
                <w:vertAlign w:val="baseli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159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435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DISTRIBUTOR</w:t>
            </w:r>
            <w:r>
              <w:rPr>
                <w:rFonts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:Shantou Leyi Health Food Co., Ltd.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  <w:lang w:val="en-US" w:eastAsia="zh-CN"/>
              </w:rPr>
              <w:t>汕头市乐怡健康食品有限公司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West side of the 3rd and 4th floors of Building No. 7 on the north side of the middle section of Beixing Road, Beizhong Village, Xinxi Street, Longhu District, Shantou City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</w:t>
            </w: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龙湖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区新溪街道北中村北兴路中段北侧7号建筑物3、4楼西侧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435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9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男性增强补充滴剂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提升体质精力充沛享受健康生活男性活力营养补充剂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Supports maintenance of energy levels and improves daily performance.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Promote body functions and maintain overall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take and effective quickly.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Suitable for all kinds of eating habits and easy to use.</w:t>
            </w:r>
          </w:p>
        </w:tc>
        <w:tc>
          <w:tcPr>
            <w:tcW w:w="1590" w:type="dxa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支持维持能量水平，提升日常表现。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促进身体机能，维护整体活力。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易于摄取，快速发挥作用。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适合各类饮食习惯，使用方便。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Energy improvement: Provide continuous energy to the body and keep it full of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Quick action: Quick absorption, immediate effect, adaptable to fast-paced life.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Body maintenance: Support the health of various body systems and improve the quality of life.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Convenient intake: simple and easy to take, suitable for the busy life of modern men.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The formula is specially designed for men to meet specific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Improve daily vitality and help face daily challenges.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Improve body efficiency and optimize daily performance.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Combined with a healthy lifestyle, the effect will be better.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Safe formula, customized according to needs.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Provide nutrients needed by the body and supplement daily diet.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Suitable for all adult men.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Strong adaptability, easy to carry whether traveling or working.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Improve stress resistance and face the pressure of life.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Supports daily physical and mental vitality.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Helps restore physical strength and prepare for new challenges.</w:t>
            </w:r>
          </w:p>
        </w:tc>
        <w:tc>
          <w:tcPr>
            <w:tcW w:w="1590" w:type="dxa"/>
            <w:vAlign w:val="top"/>
          </w:tcPr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能量提升：为身体提供持续能量，保持活力充沛。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快速行动：快速吸收，效果立见，适应快节奏生活。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身体维护：支持身体各系统健康，提高生活质量。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方便摄取：简单易服，适应现代男性忙碌生活。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配方专为男性设计，满足特定需求。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改善日常活力，帮助面对日常挑战。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提高身体效率，优化日常表现。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配合健康生活方式，效果更佳。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安全配方，按需求量身定制。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提供身体所需营养，补充日常饮食。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适合所有成年男性使用。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适应性强，无论旅行还是工作都方便携带。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提高抗压能力，面对生活压力。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支持日常的身体和精神活力。</w:t>
            </w:r>
          </w:p>
          <w:p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帮助恢复体力，准备新的挑战。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Gluconolactone: Helps increase energy production and maintain body functions.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Vitamin B1: A key nutrient that helps with energy conversion and nervous system health.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Mint leaf extract: Provides a refreshing feeling and enhances the taking experience.</w:t>
            </w:r>
          </w:p>
        </w:tc>
        <w:tc>
          <w:tcPr>
            <w:tcW w:w="159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1.葡萄糖酸内脂：助于提升能量产生，维持身体机能。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2.维生素B1：关键营养素，有助于能量转化和神经系统健康。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3.薄荷叶提取液：提供清新感受，增强服用体验。</w:t>
            </w:r>
          </w:p>
        </w:tc>
        <w:tc>
          <w:tcPr>
            <w:tcW w:w="4350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73695D1"/>
    <w:multiLevelType w:val="singleLevel"/>
    <w:tmpl w:val="A73695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5A71481"/>
    <w:multiLevelType w:val="singleLevel"/>
    <w:tmpl w:val="D5A714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6D2622D3"/>
    <w:multiLevelType w:val="singleLevel"/>
    <w:tmpl w:val="6D2622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NzQ3OTQyN2VkOGVlMTRiYWRkMzQ5MDA0ZDcyMzM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51E66B7"/>
    <w:rsid w:val="1EB56315"/>
    <w:rsid w:val="20AE7AB7"/>
    <w:rsid w:val="2C212BC7"/>
    <w:rsid w:val="2C2F3E7B"/>
    <w:rsid w:val="2EB160BC"/>
    <w:rsid w:val="30CE2337"/>
    <w:rsid w:val="31BE5DA8"/>
    <w:rsid w:val="32706949"/>
    <w:rsid w:val="436F2FF7"/>
    <w:rsid w:val="477E5729"/>
    <w:rsid w:val="47D44839"/>
    <w:rsid w:val="4F9B24F8"/>
    <w:rsid w:val="54C524A6"/>
    <w:rsid w:val="5A6A2F32"/>
    <w:rsid w:val="5E5F1C0F"/>
    <w:rsid w:val="5F8F1018"/>
    <w:rsid w:val="6010760A"/>
    <w:rsid w:val="60FA627F"/>
    <w:rsid w:val="6313107A"/>
    <w:rsid w:val="64E5586C"/>
    <w:rsid w:val="6D7241A0"/>
    <w:rsid w:val="70A84A0A"/>
    <w:rsid w:val="72486799"/>
    <w:rsid w:val="73612AB3"/>
    <w:rsid w:val="77255AB2"/>
    <w:rsid w:val="77F97AE1"/>
    <w:rsid w:val="79B841E5"/>
    <w:rsid w:val="7B4B1D10"/>
    <w:rsid w:val="7CB1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1187</Words>
  <Characters>2423</Characters>
  <Lines>0</Lines>
  <Paragraphs>0</Paragraphs>
  <TotalTime>1</TotalTime>
  <ScaleCrop>false</ScaleCrop>
  <LinksUpToDate>false</LinksUpToDate>
  <CharactersWithSpaces>2605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2024-06-17T08:21:21Z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2C65818793094F13B4E1EE78FEDA553A_13</vt:lpwstr>
  </property>
</Properties>
</file>