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606"/>
        <w:gridCol w:w="2385"/>
        <w:gridCol w:w="2779"/>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606"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385"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2779"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vertAlign w:val="baseline"/>
                <w:lang w:val="en-US" w:eastAsia="zh-CN"/>
              </w:rPr>
            </w:pPr>
            <w:r>
              <w:rPr>
                <w:rFonts w:hint="eastAsia"/>
                <w:vertAlign w:val="baseline"/>
                <w:lang w:val="en-US" w:eastAsia="zh-CN"/>
              </w:rPr>
              <w:t xml:space="preserve">XIMONTH </w:t>
            </w:r>
            <w:bookmarkStart w:id="0" w:name="OLE_LINK1"/>
            <w:r>
              <w:rPr>
                <w:rFonts w:hint="eastAsia"/>
                <w:vertAlign w:val="baseline"/>
                <w:lang w:val="en-US" w:eastAsia="zh-CN"/>
              </w:rPr>
              <w:t>Glucose Guard Blood Sugar Patch</w:t>
            </w:r>
          </w:p>
          <w:bookmarkEnd w:id="0"/>
          <w:p>
            <w:pPr>
              <w:bidi w:val="0"/>
              <w:jc w:val="left"/>
              <w:rPr>
                <w:rFonts w:hint="default" w:ascii="Arial Black" w:hAnsi="Arial Black" w:eastAsia="Times New Roman" w:cs="Arial Black"/>
                <w:sz w:val="22"/>
                <w:szCs w:val="22"/>
                <w:lang w:val="en-US" w:eastAsia="zh-CN"/>
              </w:rPr>
            </w:pPr>
          </w:p>
        </w:tc>
        <w:tc>
          <w:tcPr>
            <w:tcW w:w="2385" w:type="dxa"/>
          </w:tcPr>
          <w:p>
            <w:pPr>
              <w:bidi w:val="0"/>
              <w:jc w:val="left"/>
              <w:rPr>
                <w:rFonts w:hint="default"/>
                <w:vertAlign w:val="baseline"/>
                <w:lang w:val="en-US" w:eastAsia="zh-CN"/>
              </w:rPr>
            </w:pPr>
            <w:r>
              <w:rPr>
                <w:rFonts w:hint="eastAsia"/>
                <w:vertAlign w:val="baseline"/>
                <w:lang w:val="en-US" w:eastAsia="zh-CN"/>
              </w:rPr>
              <w:t xml:space="preserve">XIMONTH </w:t>
            </w:r>
            <w:bookmarkStart w:id="1" w:name="OLE_LINK5"/>
            <w:r>
              <w:rPr>
                <w:rFonts w:hint="eastAsia"/>
                <w:vertAlign w:val="baseline"/>
                <w:lang w:val="en-US" w:eastAsia="zh-CN"/>
              </w:rPr>
              <w:t>血糖贴</w:t>
            </w:r>
            <w:bookmarkEnd w:id="1"/>
          </w:p>
        </w:tc>
        <w:tc>
          <w:tcPr>
            <w:tcW w:w="2779"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606" w:type="dxa"/>
          </w:tcPr>
          <w:p>
            <w:pPr>
              <w:bidi w:val="0"/>
              <w:jc w:val="left"/>
              <w:rPr>
                <w:vertAlign w:val="baseline"/>
                <w:lang w:val="en-US" w:eastAsia="zh-CN"/>
              </w:rPr>
            </w:pPr>
            <w:r>
              <w:rPr>
                <w:rFonts w:hint="eastAsia"/>
                <w:vertAlign w:val="baseline"/>
                <w:lang w:val="en-US" w:eastAsia="zh-CN"/>
              </w:rPr>
              <w:t>https://www.wizzgoo.com/product/luhaka-glucoguard-blood-sugar-patch/</w:t>
            </w:r>
          </w:p>
        </w:tc>
        <w:tc>
          <w:tcPr>
            <w:tcW w:w="2385" w:type="dxa"/>
          </w:tcPr>
          <w:p>
            <w:pPr>
              <w:bidi w:val="0"/>
              <w:jc w:val="left"/>
              <w:rPr>
                <w:vertAlign w:val="baseline"/>
                <w:lang w:val="en-US" w:eastAsia="zh-CN"/>
              </w:rPr>
            </w:pPr>
          </w:p>
        </w:tc>
        <w:tc>
          <w:tcPr>
            <w:tcW w:w="2779"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606"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left"/>
              <w:rPr>
                <w:vertAlign w:val="baseline"/>
                <w:lang w:val="en-US" w:eastAsia="zh-CN"/>
              </w:rPr>
            </w:pPr>
            <w:r>
              <w:rPr>
                <w:rFonts w:hint="eastAsia"/>
                <w:vertAlign w:val="baseline"/>
                <w:lang w:val="en-US" w:eastAsia="zh-CN"/>
              </w:rPr>
              <w:t>CINNAMOMUM LOUREIROI BARK EXTRACT、ARTEMISIA VULGARIS EXTRACT、MENTHA PIPERITA (PEPPERMINT) OIL、ANGELICA SINENSIS ROOT OIL、OSMANTHUS FRAGRANS FLOWER OIL</w:t>
            </w:r>
          </w:p>
        </w:tc>
        <w:tc>
          <w:tcPr>
            <w:tcW w:w="2385" w:type="dxa"/>
          </w:tcPr>
          <w:p>
            <w:pPr>
              <w:bidi w:val="0"/>
              <w:jc w:val="left"/>
              <w:rPr>
                <w:rFonts w:hint="default"/>
                <w:vertAlign w:val="baseline"/>
                <w:lang w:val="en-US" w:eastAsia="zh-CN"/>
              </w:rPr>
            </w:pPr>
            <w:bookmarkStart w:id="2" w:name="OLE_LINK4"/>
            <w:r>
              <w:rPr>
                <w:rFonts w:hint="eastAsia"/>
                <w:vertAlign w:val="baseline"/>
                <w:lang w:val="en-US" w:eastAsia="zh-CN"/>
              </w:rPr>
              <w:t>肉桂树皮提取物、艾蒿提取物、薄荷油、当归根油、桂花油</w:t>
            </w:r>
            <w:bookmarkEnd w:id="2"/>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606"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the abdominal skin area and keep it dry.</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Apply the patch to the abdominal skin, making sure it is close to the skin.</w:t>
            </w:r>
          </w:p>
          <w:p>
            <w:pPr>
              <w:bidi w:val="0"/>
              <w:jc w:val="left"/>
              <w:rPr>
                <w:vertAlign w:val="baseline"/>
                <w:lang w:val="en-US" w:eastAsia="zh-CN"/>
              </w:rPr>
            </w:pPr>
            <w:r>
              <w:rPr>
                <w:rFonts w:hint="eastAsia" w:ascii="Calibri" w:hAnsi="Calibri" w:eastAsia="Times New Roman" w:cs="Calibri"/>
                <w:sz w:val="22"/>
                <w:szCs w:val="22"/>
                <w:lang w:val="en-US" w:eastAsia="zh-CN"/>
              </w:rPr>
              <w:t>3. Wait 2-3 hours and then remove the patch.</w:t>
            </w:r>
          </w:p>
        </w:tc>
        <w:tc>
          <w:tcPr>
            <w:tcW w:w="2385" w:type="dxa"/>
            <w:vAlign w:val="top"/>
          </w:tcPr>
          <w:p>
            <w:pPr>
              <w:numPr>
                <w:ilvl w:val="0"/>
                <w:numId w:val="3"/>
              </w:numPr>
              <w:bidi w:val="0"/>
              <w:jc w:val="left"/>
              <w:rPr>
                <w:rFonts w:hint="eastAsia"/>
                <w:vertAlign w:val="baseline"/>
                <w:lang w:val="en-US" w:eastAsia="zh-CN"/>
              </w:rPr>
            </w:pPr>
            <w:r>
              <w:rPr>
                <w:rFonts w:hint="eastAsia"/>
                <w:vertAlign w:val="baseline"/>
                <w:lang w:val="en-US" w:eastAsia="zh-CN"/>
              </w:rPr>
              <w:t>清洁腹部皮肤区域并保持干燥。</w:t>
            </w:r>
          </w:p>
          <w:p>
            <w:pPr>
              <w:numPr>
                <w:ilvl w:val="0"/>
                <w:numId w:val="3"/>
              </w:numPr>
              <w:bidi w:val="0"/>
              <w:jc w:val="left"/>
              <w:rPr>
                <w:rFonts w:hint="default"/>
                <w:vertAlign w:val="baseline"/>
                <w:lang w:val="en-US" w:eastAsia="zh-CN"/>
              </w:rPr>
            </w:pPr>
            <w:r>
              <w:rPr>
                <w:rFonts w:hint="eastAsia"/>
                <w:vertAlign w:val="baseline"/>
                <w:lang w:val="en-US" w:eastAsia="zh-CN"/>
              </w:rPr>
              <w:t>将贴片贴在腹部皮肤上，确保紧贴肌肤。</w:t>
            </w:r>
          </w:p>
          <w:p>
            <w:pPr>
              <w:numPr>
                <w:ilvl w:val="0"/>
                <w:numId w:val="3"/>
              </w:numPr>
              <w:bidi w:val="0"/>
              <w:jc w:val="left"/>
              <w:rPr>
                <w:vertAlign w:val="baseline"/>
                <w:lang w:val="en-US" w:eastAsia="zh-CN"/>
              </w:rPr>
            </w:pPr>
            <w:r>
              <w:rPr>
                <w:rFonts w:hint="eastAsia"/>
                <w:vertAlign w:val="baseline"/>
                <w:lang w:val="en-US" w:eastAsia="zh-CN"/>
              </w:rPr>
              <w:t>等待2-3小时后将贴片取下即可。</w:t>
            </w:r>
          </w:p>
        </w:tc>
        <w:tc>
          <w:tcPr>
            <w:tcW w:w="2779"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606"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vertAlign w:val="baseline"/>
                <w:lang w:val="en-US" w:eastAsia="zh-CN"/>
              </w:rPr>
            </w:pPr>
            <w:r>
              <w:rPr>
                <w:rFonts w:hint="eastAsia"/>
                <w:vertAlign w:val="baseline"/>
                <w:lang w:val="en-US" w:eastAsia="zh-CN"/>
              </w:rPr>
              <w:t>1. Help you regulate blood sugar to normal levels, allowing you to say goodbye to blood sugar fluctuations and enjoy a healthy and stable life.</w:t>
            </w:r>
          </w:p>
          <w:p>
            <w:pPr>
              <w:bidi w:val="0"/>
              <w:jc w:val="left"/>
              <w:rPr>
                <w:rFonts w:hint="eastAsia"/>
                <w:vertAlign w:val="baseline"/>
                <w:lang w:val="en-US" w:eastAsia="zh-CN"/>
              </w:rPr>
            </w:pPr>
            <w:r>
              <w:rPr>
                <w:rFonts w:hint="eastAsia"/>
                <w:vertAlign w:val="baseline"/>
                <w:lang w:val="en-US" w:eastAsia="zh-CN"/>
              </w:rPr>
              <w:t>2. Significantly improve insulin sensitivity, allowing your body to use insulin more effectively, accelerate glucose metabolism, and maintain a healthy body.</w:t>
            </w:r>
          </w:p>
          <w:p>
            <w:pPr>
              <w:bidi w:val="0"/>
              <w:jc w:val="left"/>
              <w:rPr>
                <w:rFonts w:hint="eastAsia" w:ascii="Arial Black" w:hAnsi="Arial Black" w:eastAsia="Times New Roman" w:cs="Arial Black"/>
                <w:sz w:val="22"/>
                <w:szCs w:val="22"/>
                <w:lang w:val="en-US" w:eastAsia="zh-CN"/>
              </w:rPr>
            </w:pPr>
            <w:r>
              <w:rPr>
                <w:rFonts w:hint="eastAsia"/>
                <w:vertAlign w:val="baseline"/>
                <w:lang w:val="en-US" w:eastAsia="zh-CN"/>
              </w:rPr>
              <w:t>3. Strengthen the effect of insulin, effectively promote fat metabolism, and make weight loss more efficient.</w:t>
            </w:r>
          </w:p>
        </w:tc>
        <w:tc>
          <w:tcPr>
            <w:tcW w:w="2385" w:type="dxa"/>
          </w:tcPr>
          <w:p>
            <w:pPr>
              <w:numPr>
                <w:ilvl w:val="0"/>
                <w:numId w:val="4"/>
              </w:numPr>
              <w:bidi w:val="0"/>
              <w:jc w:val="left"/>
              <w:rPr>
                <w:rFonts w:hint="eastAsia"/>
                <w:vertAlign w:val="baseline"/>
                <w:lang w:val="en-US" w:eastAsia="zh-CN"/>
              </w:rPr>
            </w:pPr>
            <w:r>
              <w:rPr>
                <w:rFonts w:hint="eastAsia"/>
                <w:vertAlign w:val="baseline"/>
                <w:lang w:val="en-US" w:eastAsia="zh-CN"/>
              </w:rPr>
              <w:t>帮助您调节血糖至正常水平，让您告别血糖波动，享受健康稳定的生活。</w:t>
            </w:r>
          </w:p>
          <w:p>
            <w:pPr>
              <w:numPr>
                <w:ilvl w:val="0"/>
                <w:numId w:val="4"/>
              </w:numPr>
              <w:bidi w:val="0"/>
              <w:jc w:val="left"/>
              <w:rPr>
                <w:rFonts w:hint="eastAsia"/>
                <w:vertAlign w:val="baseline"/>
                <w:lang w:val="en-US" w:eastAsia="zh-CN"/>
              </w:rPr>
            </w:pPr>
            <w:r>
              <w:rPr>
                <w:rFonts w:hint="eastAsia"/>
                <w:vertAlign w:val="baseline"/>
                <w:lang w:val="en-US" w:eastAsia="zh-CN"/>
              </w:rPr>
              <w:t>显著</w:t>
            </w:r>
            <w:bookmarkStart w:id="3" w:name="OLE_LINK3"/>
            <w:r>
              <w:rPr>
                <w:rFonts w:hint="eastAsia"/>
                <w:vertAlign w:val="baseline"/>
                <w:lang w:val="en-US" w:eastAsia="zh-CN"/>
              </w:rPr>
              <w:t>提高胰岛素敏感性</w:t>
            </w:r>
            <w:bookmarkEnd w:id="3"/>
            <w:r>
              <w:rPr>
                <w:rFonts w:hint="eastAsia"/>
                <w:vertAlign w:val="baseline"/>
                <w:lang w:val="en-US" w:eastAsia="zh-CN"/>
              </w:rPr>
              <w:t>，让您的身体更有效地利用胰岛素，加速葡萄糖代谢，保持健康体态。</w:t>
            </w:r>
          </w:p>
          <w:p>
            <w:pPr>
              <w:numPr>
                <w:ilvl w:val="0"/>
                <w:numId w:val="4"/>
              </w:numPr>
              <w:bidi w:val="0"/>
              <w:jc w:val="left"/>
              <w:rPr>
                <w:vertAlign w:val="baseline"/>
                <w:lang w:val="en-US" w:eastAsia="zh-CN"/>
              </w:rPr>
            </w:pPr>
            <w:r>
              <w:rPr>
                <w:rFonts w:hint="eastAsia"/>
                <w:vertAlign w:val="baseline"/>
                <w:lang w:val="en-US" w:eastAsia="zh-CN"/>
              </w:rPr>
              <w:t>强化胰岛素作用，有效促进脂肪代谢，让减肥更高效。</w:t>
            </w:r>
          </w:p>
        </w:tc>
        <w:tc>
          <w:tcPr>
            <w:tcW w:w="2779"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606"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left"/>
              <w:rPr>
                <w:vertAlign w:val="baseline"/>
                <w:lang w:val="en-US" w:eastAsia="zh-CN"/>
              </w:rPr>
            </w:pPr>
            <w:r>
              <w:rPr>
                <w:rFonts w:hint="eastAsia"/>
                <w:vertAlign w:val="baseline"/>
                <w:lang w:val="en-US" w:eastAsia="zh-CN"/>
              </w:rPr>
              <w:t>Glucose Guard Blood Sugar Patch、Blood Sugar Regulation Patch、Blood Sugar Management Patch</w:t>
            </w:r>
          </w:p>
        </w:tc>
        <w:tc>
          <w:tcPr>
            <w:tcW w:w="2385" w:type="dxa"/>
          </w:tcPr>
          <w:p>
            <w:pPr>
              <w:bidi w:val="0"/>
              <w:jc w:val="left"/>
              <w:rPr>
                <w:rFonts w:hint="default"/>
                <w:vertAlign w:val="baseline"/>
                <w:lang w:val="en-US" w:eastAsia="zh-CN"/>
              </w:rPr>
            </w:pPr>
            <w:bookmarkStart w:id="4" w:name="OLE_LINK2"/>
            <w:r>
              <w:rPr>
                <w:rFonts w:hint="eastAsia"/>
                <w:vertAlign w:val="baseline"/>
                <w:lang w:val="en-US" w:eastAsia="zh-CN"/>
              </w:rPr>
              <w:t>血糖贴</w:t>
            </w:r>
            <w:bookmarkEnd w:id="4"/>
            <w:r>
              <w:rPr>
                <w:rFonts w:hint="eastAsia"/>
                <w:vertAlign w:val="baseline"/>
                <w:lang w:val="en-US" w:eastAsia="zh-CN"/>
              </w:rPr>
              <w:t>、调节血糖贴、血糖管理贴</w:t>
            </w:r>
          </w:p>
        </w:tc>
        <w:tc>
          <w:tcPr>
            <w:tcW w:w="2779"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606"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left"/>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385" w:type="dxa"/>
          </w:tcPr>
          <w:p>
            <w:pPr>
              <w:bidi w:val="0"/>
              <w:jc w:val="left"/>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2779"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0"/>
                <w:szCs w:val="22"/>
                <w:lang w:val="en-US" w:eastAsia="zh-CN" w:bidi="ar-SA"/>
              </w:rPr>
            </w:pPr>
            <w:bookmarkStart w:id="5" w:name="_GoBack"/>
            <w:bookmarkEnd w:id="5"/>
            <w:r>
              <w:rPr>
                <w:rFonts w:hint="eastAsia" w:ascii="Times New Roman" w:hAnsi="Times New Roman" w:eastAsia="Times New Roman" w:cstheme="minorBidi"/>
                <w:kern w:val="2"/>
                <w:sz w:val="22"/>
                <w:szCs w:val="22"/>
                <w:lang w:val="en-US" w:eastAsia="zh-CN" w:bidi="ar-SA"/>
              </w:rPr>
              <w:t>标识</w:t>
            </w:r>
          </w:p>
        </w:tc>
        <w:tc>
          <w:tcPr>
            <w:tcW w:w="2606"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jc w:val="center"/>
              <w:textAlignment w:val="auto"/>
              <w:rPr>
                <w:rFonts w:hint="eastAsia" w:asciiTheme="minorHAnsi" w:hAnsiTheme="minorHAnsi" w:eastAsiaTheme="minorEastAsia" w:cstheme="minorBidi"/>
                <w:kern w:val="2"/>
                <w:sz w:val="21"/>
                <w:szCs w:val="24"/>
                <w:lang w:val="en-US" w:eastAsia="zh-CN" w:bidi="ar-SA"/>
              </w:rPr>
            </w:pPr>
          </w:p>
        </w:tc>
        <w:tc>
          <w:tcPr>
            <w:tcW w:w="23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需包含这些标志，左边为示意，需找相对应的矢量图1个</w:t>
            </w:r>
          </w:p>
        </w:tc>
        <w:tc>
          <w:tcPr>
            <w:tcW w:w="2779"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drawing>
                <wp:inline distT="0" distB="0" distL="114300" distR="114300">
                  <wp:extent cx="1381125" cy="571500"/>
                  <wp:effectExtent l="0" t="0" r="9525"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4"/>
                          <a:stretch>
                            <a:fillRect/>
                          </a:stretch>
                        </pic:blipFill>
                        <pic:spPr>
                          <a:xfrm>
                            <a:off x="0" y="0"/>
                            <a:ext cx="1381125" cy="571500"/>
                          </a:xfrm>
                          <a:prstGeom prst="rect">
                            <a:avLst/>
                          </a:prstGeom>
                          <a:noFill/>
                          <a:ln>
                            <a:noFill/>
                          </a:ln>
                        </pic:spPr>
                      </pic:pic>
                    </a:graphicData>
                  </a:graphic>
                </wp:inline>
              </w:drawing>
            </w:r>
          </w:p>
        </w:tc>
        <w:tc>
          <w:tcPr>
            <w:tcW w:w="1778"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606" w:type="dxa"/>
          </w:tcPr>
          <w:p>
            <w:pPr>
              <w:numPr>
                <w:ilvl w:val="0"/>
                <w:numId w:val="0"/>
              </w:numPr>
              <w:bidi w:val="0"/>
              <w:ind w:leftChars="0"/>
              <w:jc w:val="left"/>
              <w:rPr>
                <w:rFonts w:ascii="宋体" w:hAnsi="宋体" w:eastAsia="宋体" w:cs="宋体"/>
                <w:sz w:val="24"/>
                <w:szCs w:val="24"/>
              </w:rPr>
            </w:pPr>
          </w:p>
        </w:tc>
        <w:tc>
          <w:tcPr>
            <w:tcW w:w="2385" w:type="dxa"/>
          </w:tcPr>
          <w:p>
            <w:pPr>
              <w:bidi w:val="0"/>
              <w:jc w:val="left"/>
              <w:rPr>
                <w:rFonts w:ascii="宋体" w:hAnsi="宋体" w:eastAsia="宋体" w:cs="宋体"/>
                <w:sz w:val="24"/>
                <w:szCs w:val="24"/>
              </w:rPr>
            </w:pPr>
            <w:r>
              <w:rPr>
                <w:rFonts w:hint="eastAsia"/>
                <w:vertAlign w:val="baseline"/>
                <w:lang w:val="en-US" w:eastAsia="zh-CN"/>
              </w:rPr>
              <w:t>血糖贴血糖管理器精准持续提高胰岛素敏感性血糖管理调节血糖稳定减少热量摄入</w:t>
            </w:r>
          </w:p>
        </w:tc>
        <w:tc>
          <w:tcPr>
            <w:tcW w:w="2779"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left"/>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Efficient adjustment, easy control of blood sugar patch.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Comfortable fit, no burden for daily wear.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Portable design, take care of your health anytime and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and non-irritating, suitable for a wide range of people.</w:t>
            </w:r>
          </w:p>
        </w:tc>
        <w:tc>
          <w:tcPr>
            <w:tcW w:w="2385" w:type="dxa"/>
            <w:vAlign w:val="top"/>
          </w:tcPr>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高效调节，血糖贴轻松掌控。</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舒适贴合，日常佩戴无负担。</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便携设计，随时随地呵护健康。</w:t>
            </w:r>
          </w:p>
          <w:p>
            <w:pPr>
              <w:numPr>
                <w:ilvl w:val="0"/>
                <w:numId w:val="6"/>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安全无刺激，适用广泛人群。</w:t>
            </w:r>
          </w:p>
          <w:p>
            <w:pPr>
              <w:bidi w:val="0"/>
              <w:jc w:val="left"/>
              <w:rPr>
                <w:rFonts w:hint="eastAsia" w:ascii="Times New Roman" w:hAnsi="Times New Roman" w:eastAsia="Times New Roman" w:cstheme="minorBidi"/>
                <w:kern w:val="2"/>
                <w:sz w:val="22"/>
                <w:szCs w:val="22"/>
                <w:lang w:val="en-US" w:eastAsia="zh-CN" w:bidi="ar-SA"/>
              </w:rPr>
            </w:pP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Blood sugar balance: continuous and gentle regulation to avoid blood sugar fluctuations.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Comfortable experience: soft material, comfortable against the skin.</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Efficient regulation: fast penetration, rapid effect, let you feel at ease.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Convenient use: carry with you, convenient for travel or business trips.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Simple and easy to use, easy to stick, enjoy health protection anytime, anywhere.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Disposable, convenient and fast, hygienic and safe.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a variety of lifestyles, meet the needs of different groups of people.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Durable, one piece with multiple effects, saving time and cost.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Non-toxic and odorless, let you feel pure and comfortable during use.</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Accurate fit, not easy to fall off, ensure continuous and stable effect.</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A variety of specifications are available to meet the needs of different parts.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Designed for people with high blood sugar, caring for your health.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Light and breathable, comfortable to wear, does not affect daily activities.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Gentle and non-irritating, cares for sensitive skin, so you have no worries.</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High cost performance, it is your ideal choice for controlling blood sugar.</w:t>
            </w:r>
          </w:p>
        </w:tc>
        <w:tc>
          <w:tcPr>
            <w:tcW w:w="2385" w:type="dxa"/>
            <w:vAlign w:val="top"/>
          </w:tcPr>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血糖平衡：持续温和调节，避免血糖波动。</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舒适体验：柔软材质，贴肤舒适。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高效调节：快速渗透，迅速发挥效果，让您倍感安心。</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便捷使用：随身携带，方便旅行或出差。</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简单易用，轻松粘贴，随时随地享受健康守护。</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一次性使用，方便快捷，卫生安全有保障。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适合多种生活方式，满足不同人群需求。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持久耐用，一片多效，节省时间与成本。</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无毒无味，让您在使用过程中感受纯净舒适。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精准贴合，不易脱落，确保持续稳定效果。</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多种规格可选，满足不同部位需求。</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专为高血糖人群设计，贴心呵护您的健康。</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轻薄透气，佩戴舒适，不影响日常活动。</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温和不刺激，呵护敏感肌肤，让您无后顾之忧。</w:t>
            </w:r>
          </w:p>
          <w:p>
            <w:pPr>
              <w:numPr>
                <w:ilvl w:val="0"/>
                <w:numId w:val="7"/>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性价比高，是您控制血糖的理想选择。</w:t>
            </w:r>
          </w:p>
          <w:p>
            <w:pPr>
              <w:bidi w:val="0"/>
              <w:jc w:val="left"/>
              <w:rPr>
                <w:rFonts w:hint="eastAsia" w:ascii="Times New Roman" w:hAnsi="Times New Roman" w:eastAsia="宋体" w:cstheme="minorBidi"/>
                <w:kern w:val="2"/>
                <w:sz w:val="22"/>
                <w:szCs w:val="22"/>
                <w:lang w:val="en-US" w:eastAsia="zh-CN" w:bidi="ar-SA"/>
              </w:rPr>
            </w:pP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606" w:type="dxa"/>
            <w:vAlign w:val="top"/>
          </w:tcPr>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Cinnamon bark extract: promotes blood circulation and helps regulate blood sugar.</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Artemisia extract: soothes the skin and enhances the skin's adaptability to the blood sugar patch.</w:t>
            </w:r>
          </w:p>
          <w:p>
            <w:pPr>
              <w:numPr>
                <w:ilvl w:val="0"/>
                <w:numId w:val="0"/>
              </w:numPr>
              <w:bidi w:val="0"/>
              <w:ind w:left="0" w:leftChars="0" w:firstLine="0" w:firstLineChars="0"/>
              <w:jc w:val="left"/>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Osmanthus oil: harmonizes the aroma and brings physical and mental pleasure.</w:t>
            </w:r>
          </w:p>
        </w:tc>
        <w:tc>
          <w:tcPr>
            <w:tcW w:w="2385" w:type="dxa"/>
            <w:vAlign w:val="top"/>
          </w:tcPr>
          <w:p>
            <w:pPr>
              <w:numPr>
                <w:ilvl w:val="0"/>
                <w:numId w:val="8"/>
              </w:numPr>
              <w:bidi w:val="0"/>
              <w:ind w:left="0" w:leftChars="0" w:firstLine="0" w:firstLineChars="0"/>
              <w:jc w:val="left"/>
              <w:rPr>
                <w:rFonts w:hint="eastAsia"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肉桂树皮提取物：促进血液循环，辅助调节血糖。</w:t>
            </w:r>
          </w:p>
          <w:p>
            <w:pPr>
              <w:numPr>
                <w:ilvl w:val="0"/>
                <w:numId w:val="8"/>
              </w:numPr>
              <w:bidi w:val="0"/>
              <w:ind w:left="0" w:leftChars="0" w:firstLine="0" w:firstLineChars="0"/>
              <w:jc w:val="left"/>
              <w:rPr>
                <w:rFonts w:hint="default" w:ascii="Times New Roman" w:hAnsi="Times New Roman" w:eastAsia="Times New Roman" w:cstheme="minorBidi"/>
                <w:kern w:val="2"/>
                <w:sz w:val="22"/>
                <w:szCs w:val="22"/>
                <w:lang w:val="en-US" w:eastAsia="zh-CN" w:bidi="ar-SA"/>
              </w:rPr>
            </w:pPr>
            <w:r>
              <w:rPr>
                <w:rFonts w:hint="default" w:ascii="Times New Roman" w:hAnsi="Times New Roman" w:eastAsia="Times New Roman" w:cstheme="minorBidi"/>
                <w:kern w:val="2"/>
                <w:sz w:val="22"/>
                <w:szCs w:val="22"/>
                <w:lang w:val="en-US" w:eastAsia="zh-CN" w:bidi="ar-SA"/>
              </w:rPr>
              <w:t>艾蒿提取物：舒缓肌肤，增强皮肤对血糖贴的适应性。</w:t>
            </w:r>
          </w:p>
          <w:p>
            <w:pPr>
              <w:numPr>
                <w:ilvl w:val="0"/>
                <w:numId w:val="8"/>
              </w:numPr>
              <w:bidi w:val="0"/>
              <w:ind w:left="0" w:leftChars="0" w:firstLine="0" w:firstLineChars="0"/>
              <w:jc w:val="left"/>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桂花油：调和香</w:t>
            </w:r>
            <w:r>
              <w:rPr>
                <w:rFonts w:hint="default" w:ascii="Times New Roman" w:hAnsi="Times New Roman" w:eastAsia="Times New Roman" w:cstheme="minorBidi"/>
                <w:kern w:val="2"/>
                <w:sz w:val="22"/>
                <w:szCs w:val="22"/>
                <w:lang w:val="en-US" w:eastAsia="zh-CN" w:bidi="ar-SA"/>
              </w:rPr>
              <w:t>气，带来身心愉悦。</w:t>
            </w:r>
          </w:p>
          <w:p>
            <w:pPr>
              <w:bidi w:val="0"/>
              <w:jc w:val="left"/>
              <w:rPr>
                <w:rFonts w:hint="eastAsia" w:ascii="Times New Roman" w:hAnsi="Times New Roman" w:eastAsia="Times New Roman" w:cstheme="minorBidi"/>
                <w:kern w:val="2"/>
                <w:sz w:val="22"/>
                <w:szCs w:val="22"/>
                <w:lang w:val="en-US" w:eastAsia="zh-CN" w:bidi="ar-SA"/>
              </w:rPr>
            </w:pPr>
          </w:p>
        </w:tc>
        <w:tc>
          <w:tcPr>
            <w:tcW w:w="2779"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99E22B"/>
    <w:multiLevelType w:val="singleLevel"/>
    <w:tmpl w:val="9B99E22B"/>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BB1833E1"/>
    <w:multiLevelType w:val="singleLevel"/>
    <w:tmpl w:val="BB1833E1"/>
    <w:lvl w:ilvl="0" w:tentative="0">
      <w:start w:val="1"/>
      <w:numFmt w:val="decimal"/>
      <w:suff w:val="space"/>
      <w:lvlText w:val="%1."/>
      <w:lvlJc w:val="left"/>
    </w:lvl>
  </w:abstractNum>
  <w:abstractNum w:abstractNumId="3">
    <w:nsid w:val="D8BD44F6"/>
    <w:multiLevelType w:val="singleLevel"/>
    <w:tmpl w:val="D8BD44F6"/>
    <w:lvl w:ilvl="0" w:tentative="0">
      <w:start w:val="1"/>
      <w:numFmt w:val="decimal"/>
      <w:suff w:val="space"/>
      <w:lvlText w:val="%1."/>
      <w:lvlJc w:val="left"/>
    </w:lvl>
  </w:abstractNum>
  <w:abstractNum w:abstractNumId="4">
    <w:nsid w:val="E0D7FDC5"/>
    <w:multiLevelType w:val="singleLevel"/>
    <w:tmpl w:val="E0D7FDC5"/>
    <w:lvl w:ilvl="0" w:tentative="0">
      <w:start w:val="1"/>
      <w:numFmt w:val="decimal"/>
      <w:suff w:val="space"/>
      <w:lvlText w:val="%1."/>
      <w:lvlJc w:val="left"/>
    </w:lvl>
  </w:abstractNum>
  <w:abstractNum w:abstractNumId="5">
    <w:nsid w:val="E6C380CB"/>
    <w:multiLevelType w:val="singleLevel"/>
    <w:tmpl w:val="E6C380CB"/>
    <w:lvl w:ilvl="0" w:tentative="0">
      <w:start w:val="1"/>
      <w:numFmt w:val="decimal"/>
      <w:suff w:val="space"/>
      <w:lvlText w:val="%1."/>
      <w:lvlJc w:val="left"/>
    </w:lvl>
  </w:abstractNum>
  <w:abstractNum w:abstractNumId="6">
    <w:nsid w:val="F08BA489"/>
    <w:multiLevelType w:val="singleLevel"/>
    <w:tmpl w:val="F08BA489"/>
    <w:lvl w:ilvl="0" w:tentative="0">
      <w:start w:val="1"/>
      <w:numFmt w:val="decimal"/>
      <w:suff w:val="space"/>
      <w:lvlText w:val="%1."/>
      <w:lvlJc w:val="left"/>
    </w:lvl>
  </w:abstractNum>
  <w:abstractNum w:abstractNumId="7">
    <w:nsid w:val="517FE491"/>
    <w:multiLevelType w:val="singleLevel"/>
    <w:tmpl w:val="517FE491"/>
    <w:lvl w:ilvl="0" w:tentative="0">
      <w:start w:val="1"/>
      <w:numFmt w:val="decimal"/>
      <w:lvlText w:val="%1."/>
      <w:lvlJc w:val="left"/>
      <w:pPr>
        <w:tabs>
          <w:tab w:val="left" w:pos="312"/>
        </w:tabs>
      </w:pPr>
    </w:lvl>
  </w:abstractNum>
  <w:num w:numId="1">
    <w:abstractNumId w:val="1"/>
  </w:num>
  <w:num w:numId="2">
    <w:abstractNumId w:val="4"/>
  </w:num>
  <w:num w:numId="3">
    <w:abstractNumId w:val="0"/>
  </w:num>
  <w:num w:numId="4">
    <w:abstractNumId w:val="7"/>
  </w:num>
  <w:num w:numId="5">
    <w:abstractNumId w:val="6"/>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xNzQ3OTQyN2VkOGVlMTRiYWRkMzQ5MDA0ZDcyMzMifQ=="/>
  </w:docVars>
  <w:rsids>
    <w:rsidRoot w:val="080F3DF8"/>
    <w:rsid w:val="019943E8"/>
    <w:rsid w:val="080F3DF8"/>
    <w:rsid w:val="0CAD58C9"/>
    <w:rsid w:val="0D1B4D24"/>
    <w:rsid w:val="112202FB"/>
    <w:rsid w:val="15017690"/>
    <w:rsid w:val="20BB6583"/>
    <w:rsid w:val="22754479"/>
    <w:rsid w:val="2317068C"/>
    <w:rsid w:val="239938DF"/>
    <w:rsid w:val="30791F98"/>
    <w:rsid w:val="327C30E0"/>
    <w:rsid w:val="33367922"/>
    <w:rsid w:val="469F3F0A"/>
    <w:rsid w:val="47061EFA"/>
    <w:rsid w:val="4804621F"/>
    <w:rsid w:val="4A210D4F"/>
    <w:rsid w:val="54983AE4"/>
    <w:rsid w:val="5777064A"/>
    <w:rsid w:val="5809221B"/>
    <w:rsid w:val="5B981531"/>
    <w:rsid w:val="5BDB3ECE"/>
    <w:rsid w:val="6134670A"/>
    <w:rsid w:val="63E87188"/>
    <w:rsid w:val="683739FE"/>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1641</Words>
  <Characters>3726</Characters>
  <Lines>0</Lines>
  <Paragraphs>0</Paragraphs>
  <TotalTime>0</TotalTime>
  <ScaleCrop>false</ScaleCrop>
  <LinksUpToDate>false</LinksUpToDate>
  <CharactersWithSpaces>4136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2024-06-15T02:39:25Z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7B51034575974CC3A186883A588CB9A7_13</vt:lpwstr>
  </property>
</Properties>
</file>