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WEST MOONTH Skin Tags Rosehip Oil</w:t>
            </w:r>
          </w:p>
        </w:tc>
        <w:tc>
          <w:tcPr>
            <w:tcW w:w="2040" w:type="dxa"/>
          </w:tcPr>
          <w:p>
            <w:pPr>
              <w:bidi w:val="0"/>
              <w:jc w:val="left"/>
              <w:rPr>
                <w:rFonts w:hint="default"/>
                <w:vertAlign w:val="baseline"/>
                <w:lang w:val="en-US" w:eastAsia="zh-CN"/>
              </w:rPr>
            </w:pPr>
            <w:bookmarkStart w:id="3" w:name="_GoBack"/>
            <w:r>
              <w:rPr>
                <w:rFonts w:hint="eastAsia"/>
                <w:vertAlign w:val="baseline"/>
                <w:lang w:val="en-US" w:eastAsia="zh-CN"/>
              </w:rPr>
              <w:t>玫瑰果籽祛疣精华油</w:t>
            </w:r>
            <w:bookmarkEnd w:id="3"/>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vAlign w:val="top"/>
          </w:tcPr>
          <w:p>
            <w:pPr>
              <w:bidi w:val="0"/>
              <w:jc w:val="left"/>
              <w:rPr>
                <w:vertAlign w:val="baseline"/>
                <w:lang w:val="en-US" w:eastAsia="zh-CN"/>
              </w:rPr>
            </w:pPr>
            <w:r>
              <w:rPr>
                <w:rFonts w:hint="eastAsia"/>
                <w:vertAlign w:val="baseline"/>
                <w:lang w:val="en-US" w:eastAsia="zh-CN"/>
              </w:rPr>
              <w:t>https://www.7mart.shop/en/products/eelhoe-%E7%8E%AB%E7%91%B0%E6%9E%9C%E6%B2%B9%E9%9D%A2%E9%83%A8%E7%B2%BE%E5%8D%8E%E6%B6%B2-%E6%BB%8B%E6%B6%A6%E4%BF%9D%E6%B9%BF%E6%B7%A1%E5%8C%96%E7%9A%B1%E7%BA%B9%E7%BB%86%E8%85%BB%E6%AF%9B%E5%AD%94%E9%98%B2%E8%A1%B0%E7%B2%BE%E5%8D%8E%E6%B6%B2</w:t>
            </w:r>
          </w:p>
        </w:tc>
        <w:tc>
          <w:tcPr>
            <w:tcW w:w="2040" w:type="dxa"/>
            <w:vAlign w:val="top"/>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ROSA CANINA FRUIT OIL、TOCOPHEROL、GLYCERIN、MELALEUCA ALTERNIFOLIA (TEA TREE) LEAF OIL、HYALURONIC ACID</w:t>
            </w:r>
          </w:p>
        </w:tc>
        <w:tc>
          <w:tcPr>
            <w:tcW w:w="2040" w:type="dxa"/>
          </w:tcPr>
          <w:p>
            <w:pPr>
              <w:bidi w:val="0"/>
              <w:jc w:val="left"/>
              <w:rPr>
                <w:rFonts w:hint="default"/>
                <w:vertAlign w:val="baseline"/>
                <w:lang w:val="en-US" w:eastAsia="zh-CN"/>
              </w:rPr>
            </w:pPr>
            <w:r>
              <w:rPr>
                <w:rFonts w:hint="eastAsia"/>
                <w:vertAlign w:val="baseline"/>
                <w:lang w:val="en-US" w:eastAsia="zh-CN"/>
              </w:rPr>
              <w:t>玫瑰果油、生育酚（维生素E）、甘油、</w:t>
            </w:r>
            <w:bookmarkStart w:id="0" w:name="OLE_LINK2"/>
            <w:r>
              <w:rPr>
                <w:rFonts w:hint="eastAsia"/>
                <w:vertAlign w:val="baseline"/>
                <w:lang w:val="en-US" w:eastAsia="zh-CN"/>
              </w:rPr>
              <w:t>茶树叶油</w:t>
            </w:r>
            <w:bookmarkEnd w:id="0"/>
            <w:r>
              <w:rPr>
                <w:rFonts w:hint="eastAsia"/>
                <w:vertAlign w:val="baseline"/>
                <w:lang w:val="en-US" w:eastAsia="zh-CN"/>
              </w:rPr>
              <w:t>、透明质酸（5个）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skin and keep it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this product and apply it evenly on the skin tags</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Gently massage until fully absorbed.</w:t>
            </w:r>
          </w:p>
        </w:tc>
        <w:tc>
          <w:tcPr>
            <w:tcW w:w="2040" w:type="dxa"/>
          </w:tcPr>
          <w:p>
            <w:pPr>
              <w:numPr>
                <w:ilvl w:val="0"/>
                <w:numId w:val="3"/>
              </w:numPr>
              <w:bidi w:val="0"/>
              <w:jc w:val="left"/>
              <w:rPr>
                <w:rFonts w:hint="eastAsia"/>
                <w:vertAlign w:val="baseline"/>
                <w:lang w:val="en-US" w:eastAsia="zh-CN"/>
              </w:rPr>
            </w:pPr>
            <w:r>
              <w:rPr>
                <w:rFonts w:hint="eastAsia"/>
                <w:vertAlign w:val="baseline"/>
                <w:lang w:val="en-US" w:eastAsia="zh-CN"/>
              </w:rPr>
              <w:t>清洁肌肤并保持干燥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取适量本品均匀涂抹在皮赘处</w:t>
            </w:r>
          </w:p>
          <w:p>
            <w:pPr>
              <w:numPr>
                <w:ilvl w:val="0"/>
                <w:numId w:val="3"/>
              </w:numPr>
              <w:bidi w:val="0"/>
              <w:jc w:val="left"/>
              <w:rPr>
                <w:rFonts w:hint="default"/>
                <w:vertAlign w:val="baseline"/>
                <w:lang w:val="en-US" w:eastAsia="zh-CN"/>
              </w:rPr>
            </w:pPr>
            <w:r>
              <w:rPr>
                <w:rFonts w:hint="eastAsia"/>
                <w:vertAlign w:val="baseline"/>
                <w:lang w:val="en-US" w:eastAsia="zh-CN"/>
              </w:rPr>
              <w:t>轻轻按摩使其完全吸收即可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Effectively remove excess skin tags on the body and restore smoothness to your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Helps improve overall skin appearance, boost your confidence, and restore skin health.</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It has a light texture and can be quickly absorbed by the skin, leaving it refreshing and non-greasy after use.</w:t>
            </w:r>
          </w:p>
        </w:tc>
        <w:tc>
          <w:tcPr>
            <w:tcW w:w="2040" w:type="dxa"/>
          </w:tcPr>
          <w:p>
            <w:pPr>
              <w:numPr>
                <w:ilvl w:val="0"/>
                <w:numId w:val="4"/>
              </w:numPr>
              <w:bidi w:val="0"/>
              <w:jc w:val="left"/>
              <w:rPr>
                <w:rFonts w:hint="eastAsia"/>
                <w:vertAlign w:val="baseline"/>
                <w:lang w:val="en-US" w:eastAsia="zh-CN"/>
              </w:rPr>
            </w:pPr>
            <w:r>
              <w:rPr>
                <w:rFonts w:hint="eastAsia"/>
                <w:vertAlign w:val="baseline"/>
                <w:lang w:val="en-US" w:eastAsia="zh-CN"/>
              </w:rPr>
              <w:t>有效去除身体多余的皮赘，让您的肌肤恢复平滑。</w:t>
            </w:r>
          </w:p>
          <w:p>
            <w:pPr>
              <w:numPr>
                <w:ilvl w:val="0"/>
                <w:numId w:val="4"/>
              </w:numPr>
              <w:bidi w:val="0"/>
              <w:jc w:val="left"/>
              <w:rPr>
                <w:rFonts w:hint="default"/>
                <w:vertAlign w:val="baseline"/>
                <w:lang w:val="en-US" w:eastAsia="zh-CN"/>
              </w:rPr>
            </w:pPr>
            <w:r>
              <w:rPr>
                <w:rFonts w:hint="eastAsia"/>
                <w:vertAlign w:val="baseline"/>
                <w:lang w:val="en-US" w:eastAsia="zh-CN"/>
              </w:rPr>
              <w:t>有助于改善整体皮肤外观，提升您的自信，让肌肤恢复健康。</w:t>
            </w:r>
          </w:p>
          <w:p>
            <w:pPr>
              <w:numPr>
                <w:ilvl w:val="0"/>
                <w:numId w:val="4"/>
              </w:numPr>
              <w:bidi w:val="0"/>
              <w:jc w:val="left"/>
              <w:rPr>
                <w:rFonts w:hint="default"/>
                <w:vertAlign w:val="baseline"/>
                <w:lang w:val="en-US" w:eastAsia="zh-CN"/>
              </w:rPr>
            </w:pPr>
            <w:r>
              <w:rPr>
                <w:rFonts w:hint="eastAsia"/>
                <w:vertAlign w:val="baseline"/>
                <w:lang w:val="en-US" w:eastAsia="zh-CN"/>
              </w:rPr>
              <w:t>质地轻盈，能够被肌肤快速吸收，使用后清爽不油腻。</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rFonts w:hint="default"/>
                <w:vertAlign w:val="baseline"/>
                <w:lang w:val="en-US" w:eastAsia="zh-CN"/>
              </w:rPr>
            </w:pPr>
            <w:bookmarkStart w:id="1" w:name="OLE_LINK3"/>
            <w:r>
              <w:rPr>
                <w:rFonts w:hint="default" w:ascii="Calibri" w:hAnsi="Calibri" w:eastAsia="Times New Roman" w:cs="Calibri"/>
                <w:sz w:val="22"/>
                <w:szCs w:val="22"/>
                <w:lang w:val="en-US" w:eastAsia="zh-CN"/>
              </w:rPr>
              <w:t>Skin Tags Rosehip Oil</w:t>
            </w:r>
            <w:r>
              <w:rPr>
                <w:rFonts w:hint="eastAsia" w:ascii="Calibri" w:hAnsi="Calibri" w:eastAsia="Times New Roman" w:cs="Calibri"/>
                <w:sz w:val="22"/>
                <w:szCs w:val="22"/>
                <w:lang w:val="en-US" w:eastAsia="zh-CN"/>
              </w:rPr>
              <w:t>；Wart Removal Oil；Skin Oil</w:t>
            </w:r>
            <w:bookmarkEnd w:id="1"/>
          </w:p>
        </w:tc>
        <w:tc>
          <w:tcPr>
            <w:tcW w:w="2040" w:type="dxa"/>
          </w:tcPr>
          <w:p>
            <w:pPr>
              <w:bidi w:val="0"/>
              <w:jc w:val="left"/>
              <w:rPr>
                <w:vertAlign w:val="baseline"/>
                <w:lang w:val="en-US" w:eastAsia="zh-CN"/>
              </w:rPr>
            </w:pPr>
            <w:r>
              <w:rPr>
                <w:rFonts w:hint="eastAsia" w:ascii="Calibri" w:hAnsi="Calibri" w:eastAsia="Times New Roman" w:cs="Calibri"/>
                <w:sz w:val="22"/>
                <w:szCs w:val="22"/>
                <w:lang w:val="en-US" w:eastAsia="zh-CN"/>
              </w:rPr>
              <w:t>皮赘</w:t>
            </w:r>
            <w:r>
              <w:rPr>
                <w:rFonts w:hint="default" w:ascii="Calibri" w:hAnsi="Calibri" w:eastAsia="Times New Roman" w:cs="Calibri"/>
                <w:sz w:val="22"/>
                <w:szCs w:val="22"/>
                <w:lang w:val="en-US" w:eastAsia="zh-CN"/>
              </w:rPr>
              <w:t>玫瑰果油；去疣油；皮肤油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2" w:name="OLE_LINK1" w:colFirst="0" w:colLast="4"/>
            <w:r>
              <w:rPr>
                <w:rFonts w:hint="eastAsia"/>
                <w:sz w:val="20"/>
                <w:szCs w:val="22"/>
                <w:lang w:val="en-US" w:eastAsia="zh-CN"/>
              </w:rPr>
              <w:t>制造商</w:t>
            </w:r>
          </w:p>
        </w:tc>
        <w:tc>
          <w:tcPr>
            <w:tcW w:w="2445" w:type="dxa"/>
          </w:tcPr>
          <w:p>
            <w:pPr>
              <w:numPr>
                <w:ilvl w:val="0"/>
                <w:numId w:val="0"/>
              </w:numPr>
              <w:bidi w:val="0"/>
              <w:ind w:leftChars="0"/>
              <w:jc w:val="left"/>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left"/>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left"/>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left"/>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left"/>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left"/>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left"/>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left"/>
              <w:rPr>
                <w:rFonts w:ascii="宋体" w:hAnsi="宋体" w:eastAsia="宋体" w:cs="宋体"/>
                <w:sz w:val="24"/>
                <w:szCs w:val="24"/>
              </w:rPr>
            </w:pPr>
            <w:r>
              <w:rPr>
                <w:rFonts w:ascii="宋体" w:hAnsi="宋体" w:eastAsia="宋体" w:cs="宋体"/>
                <w:sz w:val="24"/>
                <w:szCs w:val="24"/>
              </w:rPr>
              <w:t>US REP</w:t>
            </w:r>
          </w:p>
          <w:p>
            <w:pPr>
              <w:jc w:val="left"/>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left"/>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left"/>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left"/>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left"/>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left"/>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left"/>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left"/>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left"/>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left"/>
              <w:rPr>
                <w:rFonts w:hint="eastAsia"/>
                <w:sz w:val="24"/>
                <w:szCs w:val="32"/>
                <w:vertAlign w:val="baseline"/>
                <w:lang w:val="en-US" w:eastAsia="zh-CN"/>
              </w:rPr>
            </w:pPr>
          </w:p>
        </w:tc>
        <w:tc>
          <w:tcPr>
            <w:tcW w:w="2040" w:type="dxa"/>
            <w:vAlign w:val="top"/>
          </w:tcPr>
          <w:p>
            <w:pPr>
              <w:bidi w:val="0"/>
              <w:jc w:val="left"/>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left"/>
              <w:rPr>
                <w:rFonts w:ascii="宋体" w:hAnsi="宋体" w:eastAsia="宋体" w:cs="宋体"/>
                <w:sz w:val="24"/>
                <w:szCs w:val="24"/>
              </w:rPr>
            </w:pPr>
          </w:p>
        </w:tc>
        <w:tc>
          <w:tcPr>
            <w:tcW w:w="2040" w:type="dxa"/>
          </w:tcPr>
          <w:p>
            <w:pPr>
              <w:bidi w:val="0"/>
              <w:jc w:val="left"/>
              <w:rPr>
                <w:rFonts w:ascii="宋体" w:hAnsi="宋体" w:eastAsia="宋体" w:cs="宋体"/>
                <w:sz w:val="24"/>
                <w:szCs w:val="24"/>
              </w:rPr>
            </w:pPr>
            <w:r>
              <w:rPr>
                <w:rFonts w:hint="eastAsia" w:ascii="宋体" w:hAnsi="宋体" w:eastAsia="宋体" w:cs="宋体"/>
                <w:sz w:val="24"/>
                <w:szCs w:val="24"/>
              </w:rPr>
              <w:t>玫瑰果籽油改善肌肤瑕疵健康护肤精华改善肤质促进肌肤健康</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formula, safe and reliable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Efficient penetration, deep effect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Quickly remove warts and provide long-lasting skin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Easy to use and effective</w:t>
            </w:r>
          </w:p>
        </w:tc>
        <w:tc>
          <w:tcPr>
            <w:tcW w:w="2040"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1.温和配方，安全可靠</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2.高效渗透，深层作用</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3.快速祛疣，持久护肤</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4.使用方便，效果显著</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and safe: suitable for all skin types, protecting skin from damage.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penetration: Effectively acts on the deep layers of the skin to help fade wart marks.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All-weather care: Provides all-weather nourishment to keep skin healthy.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Convenient to use: The design is convenient and can be used anytime and anywhere to witness the effect.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Non-irritating formula to reduce skin sensitivity.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Improve the overall texture of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Restore skin beauty and improve self-confidence.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Continuous use can effectively reduce skin wart marks.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Essence oil texture, quickly absorbed and not greasy.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Highly effective formula to help restore smooth and delicate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Provide long-lasting moisturizing and prevent skin from drying out.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Use daily to significantly improve skin problems.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After use, the skin will be soft and smooth, and the comfort will be doubled.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Improve skin elasticity and reduce the appearance of fine lines.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Portable design, essential for traveling.</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温和安全：适用于各种肤质，保护肌肤不受伤害。</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深层渗透：有效作用于肌肤深层，帮助淡化疣痕。</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全天候护理：提供全天候滋养，保持肌肤健康。</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方便使用：设计便捷，随时随地使用，见证效果。</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无刺激配方，减少皮肤敏感反应。</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改善肌肤整体质地。</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恢复肌肤美观，提升自信心。</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持续使用，有效淡化肌肤疣痕。</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精华油质地，快速吸收不油腻。</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高效配方，帮助恢复肌肤光滑细腻。</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提供持久保湿，防止肌肤干燥。</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每日使用，显著改善肌肤问题。</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使用后皮肤柔软光滑，舒适感倍增。</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提升肌肤弹性，减少细纹出现。</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便携设计，外出旅行必备。</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Rosehip oil: Nourishes, repairs, and enhances skin radiance.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Tocopherol (Vitamin E): Antioxidant protection, strengthening skin barrier.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Glycerin: locks in moisture and keeps skin hydrated.</w:t>
            </w:r>
          </w:p>
        </w:tc>
        <w:tc>
          <w:tcPr>
            <w:tcW w:w="2040"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1.玫瑰果油：滋养修复，提升肌肤光泽。</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2.生育酚（维生素E）：抗氧化保护，增强肌肤屏障。</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3.甘油：锁住水分，保持肌肤水润。</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42C7DDDF"/>
    <w:multiLevelType w:val="singleLevel"/>
    <w:tmpl w:val="42C7DDDF"/>
    <w:lvl w:ilvl="0" w:tentative="0">
      <w:start w:val="1"/>
      <w:numFmt w:val="decimal"/>
      <w:lvlText w:val="%1."/>
      <w:lvlJc w:val="left"/>
      <w:pPr>
        <w:tabs>
          <w:tab w:val="left" w:pos="312"/>
        </w:tabs>
      </w:pPr>
    </w:lvl>
  </w:abstractNum>
  <w:abstractNum w:abstractNumId="4">
    <w:nsid w:val="67751A2B"/>
    <w:multiLevelType w:val="singleLevel"/>
    <w:tmpl w:val="67751A2B"/>
    <w:lvl w:ilvl="0" w:tentative="0">
      <w:start w:val="1"/>
      <w:numFmt w:val="decimal"/>
      <w:lvlText w:val="%1."/>
      <w:lvlJc w:val="left"/>
      <w:pPr>
        <w:tabs>
          <w:tab w:val="left" w:pos="312"/>
        </w:tabs>
      </w:pPr>
    </w:lvl>
  </w:abstractNum>
  <w:abstractNum w:abstractNumId="5">
    <w:nsid w:val="7359A242"/>
    <w:multiLevelType w:val="singleLevel"/>
    <w:tmpl w:val="7359A242"/>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0EED1247"/>
    <w:rsid w:val="15017690"/>
    <w:rsid w:val="1E06196D"/>
    <w:rsid w:val="20BB6583"/>
    <w:rsid w:val="2317068C"/>
    <w:rsid w:val="239938DF"/>
    <w:rsid w:val="2EF4261A"/>
    <w:rsid w:val="327C30E0"/>
    <w:rsid w:val="33367922"/>
    <w:rsid w:val="469F3F0A"/>
    <w:rsid w:val="47061EFA"/>
    <w:rsid w:val="4804621F"/>
    <w:rsid w:val="4A210D4F"/>
    <w:rsid w:val="54983AE4"/>
    <w:rsid w:val="5809221B"/>
    <w:rsid w:val="5B981531"/>
    <w:rsid w:val="5BDB3ECE"/>
    <w:rsid w:val="6134670A"/>
    <w:rsid w:val="63E87188"/>
    <w:rsid w:val="66C07EE7"/>
    <w:rsid w:val="6D3A2C24"/>
    <w:rsid w:val="6E2D118A"/>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1021</Words>
  <Characters>1903</Characters>
  <Lines>0</Lines>
  <Paragraphs>0</Paragraphs>
  <TotalTime>11</TotalTime>
  <ScaleCrop>false</ScaleCrop>
  <LinksUpToDate>false</LinksUpToDate>
  <CharactersWithSpaces>2012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2024-06-07T03:32:17Z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26E9DF11FC544B05AE4619FCAC6477DA_13</vt:lpwstr>
  </property>
</Properties>
</file>