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546"/>
        <w:gridCol w:w="1939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1939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546" w:type="dxa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  <w:t>GOOGEER Dietary Supplement</w:t>
            </w:r>
          </w:p>
        </w:tc>
        <w:tc>
          <w:tcPr>
            <w:tcW w:w="1939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记忆力补充滴剂（入口）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546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https://us-us-pinealguardian.com/</w:t>
            </w:r>
          </w:p>
        </w:tc>
        <w:tc>
          <w:tcPr>
            <w:tcW w:w="1939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546" w:type="dxa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PRODUCT TYPE：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1939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546" w:type="dxa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INGREDIENTS: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EXTRACT、GLUCONOLACTONE、VITAMIN B1、POTASSIUM SORBATE、MINT LEAF EXTRACT</w:t>
            </w:r>
          </w:p>
        </w:tc>
        <w:tc>
          <w:tcPr>
            <w:tcW w:w="1939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葡萄糖酸内脂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维生素b1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山梨酸钾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薄荷叶提取液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果葡提取液，枇杷提取物，中药提取物，葡萄糖酸内脂，维生素b1，山梨酸钾，薄荷叶提取液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EXTRACT, LOQUAT EXTRACT, CHINESE MEDICINE EXTRACT, GLUCONOLACTONE, VITAMIN B1, POTASSIUM SORBATE, MINT LEAF EXTRACT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485" w:type="dxa"/>
            <w:gridSpan w:val="2"/>
            <w:vAlign w:val="top"/>
          </w:tcPr>
          <w:p>
            <w:pPr>
              <w:bidi w:val="0"/>
              <w:jc w:val="left"/>
              <w:rPr>
                <w:rFonts w:hint="default" w:ascii="Arial Black" w:hAnsi="Arial Black" w:cs="Arial Black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Arial Black" w:hAnsi="Arial Black" w:cs="Arial Black"/>
                <w:sz w:val="20"/>
                <w:szCs w:val="22"/>
                <w:highlight w:val="none"/>
                <w:lang w:val="en-US" w:eastAsia="zh-CN"/>
              </w:rPr>
              <w:t>NUTRITION INGREDIENT LIST：</w:t>
            </w:r>
          </w:p>
          <w:tbl>
            <w:tblPr>
              <w:tblStyle w:val="4"/>
              <w:tblW w:w="426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96"/>
              <w:gridCol w:w="1250"/>
              <w:gridCol w:w="142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6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50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1423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6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50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1423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6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50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1423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6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50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1423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6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50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1423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6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50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1423" w:type="dxa"/>
                  <w:vAlign w:val="top"/>
                </w:tcPr>
                <w:p>
                  <w:pPr>
                    <w:bidi w:val="0"/>
                    <w:jc w:val="center"/>
                    <w:rPr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</w:tbl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bookmarkStart w:id="2" w:name="_GoBack"/>
            <w:bookmarkEnd w:id="2"/>
          </w:p>
        </w:tc>
        <w:tc>
          <w:tcPr>
            <w:tcW w:w="3285" w:type="dxa"/>
          </w:tcPr>
          <w:p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滴剂胶囊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546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</w:t>
            </w:r>
          </w:p>
        </w:tc>
        <w:tc>
          <w:tcPr>
            <w:tcW w:w="1939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bookmarkStart w:id="1" w:name="OLE_LINK2"/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</w:t>
            </w:r>
            <w:bookmarkEnd w:id="1"/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, 1-2 times a day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546" w:type="dxa"/>
            <w:vAlign w:val="center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  <w:t>1. Products that address memory loss, cognitive decline and brain fog.</w:t>
            </w:r>
          </w:p>
          <w:p>
            <w:pPr>
              <w:bidi w:val="0"/>
              <w:jc w:val="left"/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  <w:t>2. Effectively improve memory and help you remember information better.</w:t>
            </w:r>
          </w:p>
          <w:p>
            <w:pPr>
              <w:bidi w:val="0"/>
              <w:jc w:val="left"/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  <w:t>3. It adopts the packaging form of dropper, allowing you to accurately control the dosage.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能够解决记忆力减退、认知能力下降和脑雾的产品。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有效提高记忆力，帮助您更好地记住信息。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采用滴管的包装形式，让您精准把握用量。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546" w:type="dxa"/>
            <w:vAlign w:val="center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  <w:t>Dietary Supplement</w:t>
            </w:r>
            <w:r>
              <w:rPr>
                <w:rFonts w:hint="eastAsia" w:ascii="Calibri" w:hAnsi="Calibri" w:cs="Calibri"/>
                <w:b w:val="0"/>
                <w:bCs w:val="0"/>
                <w:vertAlign w:val="baseline"/>
                <w:lang w:val="en-US" w:eastAsia="zh-CN"/>
              </w:rPr>
              <w:t>；Memory Supplements；Brain Memory Supplements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膳食补充剂；记忆补充剂；大脑记忆补充剂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546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1939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Arial Black" w:hAnsi="Arial Black" w:eastAsia="宋体" w:cs="Arial Black"/>
                <w:sz w:val="24"/>
                <w:szCs w:val="24"/>
              </w:rPr>
              <w:t>MANUFACTURER</w:t>
            </w:r>
            <w:r>
              <w:rPr>
                <w:rFonts w:hint="default" w:ascii="Arial Black" w:hAnsi="Arial Black" w:eastAsia="宋体" w:cs="Arial Black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Shantou Leyi Health Food Technology Co., Ltd.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汕头市乐怡健康食品科技有限公司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default" w:ascii="Arial Black" w:hAnsi="Arial Black" w:eastAsia="宋体" w:cs="Arial Black"/>
                <w:sz w:val="24"/>
                <w:szCs w:val="24"/>
              </w:rPr>
            </w:pPr>
            <w:r>
              <w:rPr>
                <w:rFonts w:hint="default" w:ascii="Arial Black" w:hAnsi="Arial Black" w:eastAsia="宋体" w:cs="Arial Black"/>
                <w:sz w:val="24"/>
                <w:szCs w:val="24"/>
              </w:rPr>
              <w:t>ADDRESS：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</w:rPr>
              <w:t>West side of the 3rd and 4th floors of Building No. 7 on the north side of the middle section of Beixing Road, Beizhong Village, Xinxi Street, Longhu District, Shantou City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汕头市龙湖区新溪街道北中村北兴路中段北侧7号建筑物3、4楼西侧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939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记忆力维护滴剂提升认知功能助力大脑健康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Improve memory and concentration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Enhance brain function and support cognitive health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carry and use anytime and anywhere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Mild ingredients, safe, reliable and effective</w:t>
            </w:r>
          </w:p>
        </w:tc>
        <w:tc>
          <w:tcPr>
            <w:tcW w:w="1939" w:type="dxa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提高记忆力，提升专注度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增强脑功能，支持认知健康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便于携带，随时随地使用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成分，安全可靠有效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Improve memory: Help improve memory and support daily learning and work.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Enhance concentration: Enhance concentration and concentration to maintain a high efficiency.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Convenient to use: The drop design is easy to carry and use, and can be replenished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Safe and reliable: Mild ingredients ensure safety and can be used with confidence.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Improve cognitive function and brain power.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Provide daily nutrients and support brain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Fresh taste, easy to accept, suitable for long-term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Help reduce stress and keep you in a good mood.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Improve sleep quality and support healthy routine.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Contains no irritating ingredients and is gentle and nourishing.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Compact packaging, easy to carry,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Quick results, long-lasting effects, a daily necessity.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Suitable for all ages and a must-have for families.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A good partner for a healthy life, easily able to cope with challenges.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Simple and convenient, effective in one drop, easy to improve.</w:t>
            </w:r>
          </w:p>
        </w:tc>
        <w:tc>
          <w:tcPr>
            <w:tcW w:w="1939" w:type="dxa"/>
            <w:vAlign w:val="top"/>
          </w:tcPr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提升记忆：帮助提高记忆力，支持日常学习和工作。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增强专注：增强专注力和集中力，保持高效状态。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便捷使用：滴剂设计，便于携带和使用，随时随地补充。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安全可靠：温和成分，确保安全，放心使用。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提升认知功能和脑力。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提供日常所需营养，支持脑部健康。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清新口感，易于接受，适合长期使用。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帮助减轻压力，保持心情愉快。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改善睡眠质量，支持健康作息。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不含刺激成分，温和滋养。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小巧包装，方便携带，无论何时何地。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快速见效，效果持久，日常必备。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适合所有年龄段，家庭常备。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健康生活的好伙伴，轻松应对挑战。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简单方便，一滴见效，轻松提升。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254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Traditional Chinese Medicine Extract: Supports brain health and improves memory.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Gluconolactone: Enhances concentration and supports brain function.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Vitamin B1: Promotes energy metabolism and supports brain power.</w:t>
            </w:r>
          </w:p>
        </w:tc>
        <w:tc>
          <w:tcPr>
            <w:tcW w:w="1939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1.中药提取物：支持脑部健康，提高记忆力。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2.葡萄糖酸内脂：增强专注力，支持脑功能。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3.维生素B1：促进能量代谢，支持脑力。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76CD32F"/>
    <w:multiLevelType w:val="singleLevel"/>
    <w:tmpl w:val="F76CD3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A56ACB4"/>
    <w:multiLevelType w:val="singleLevel"/>
    <w:tmpl w:val="0A56AC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6F26D6F8"/>
    <w:multiLevelType w:val="singleLevel"/>
    <w:tmpl w:val="6F26D6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YWU4MWU3ZTBhN2UyNzEyZTIwZThmZWYyNDdiODQifQ=="/>
  </w:docVars>
  <w:rsids>
    <w:rsidRoot w:val="080F3DF8"/>
    <w:rsid w:val="05D01572"/>
    <w:rsid w:val="080F3DF8"/>
    <w:rsid w:val="095D2ECE"/>
    <w:rsid w:val="0998469B"/>
    <w:rsid w:val="0D5F1205"/>
    <w:rsid w:val="11CE1258"/>
    <w:rsid w:val="1281178E"/>
    <w:rsid w:val="151E66B7"/>
    <w:rsid w:val="17E02692"/>
    <w:rsid w:val="1EB56315"/>
    <w:rsid w:val="20AE7AB7"/>
    <w:rsid w:val="2C1A08B2"/>
    <w:rsid w:val="2C212BC7"/>
    <w:rsid w:val="2C2F3E7B"/>
    <w:rsid w:val="2EB160BC"/>
    <w:rsid w:val="30CE2337"/>
    <w:rsid w:val="31BE5DA8"/>
    <w:rsid w:val="31FA4523"/>
    <w:rsid w:val="32706949"/>
    <w:rsid w:val="3B404329"/>
    <w:rsid w:val="3D130900"/>
    <w:rsid w:val="436F2FF7"/>
    <w:rsid w:val="477E5729"/>
    <w:rsid w:val="47D44839"/>
    <w:rsid w:val="54C524A6"/>
    <w:rsid w:val="5E5F1C0F"/>
    <w:rsid w:val="5F8F1018"/>
    <w:rsid w:val="6010760A"/>
    <w:rsid w:val="60FA627F"/>
    <w:rsid w:val="6313107A"/>
    <w:rsid w:val="64E5586C"/>
    <w:rsid w:val="72486799"/>
    <w:rsid w:val="73612AB3"/>
    <w:rsid w:val="77F97AE1"/>
    <w:rsid w:val="79B841E5"/>
    <w:rsid w:val="7B4B1D10"/>
    <w:rsid w:val="7CB1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2002</Words>
  <Characters>4637</Characters>
  <Lines>0</Lines>
  <Paragraphs>0</Paragraphs>
  <TotalTime>0</TotalTime>
  <ScaleCrop>false</ScaleCrop>
  <LinksUpToDate>false</LinksUpToDate>
  <CharactersWithSpaces>5096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2024-06-08T07:48:00Z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D6A0FF5B26A944E18F1C85BCFF0532FF_13</vt:lpwstr>
  </property>
</Properties>
</file>